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pPr w:leftFromText="180" w:rightFromText="180" w:vertAnchor="text" w:tblpX="-292" w:tblpY="1"/>
        <w:tblOverlap w:val="never"/>
        <w:tblW w:w="96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1"/>
        <w:gridCol w:w="1418"/>
        <w:gridCol w:w="1983"/>
        <w:gridCol w:w="1558"/>
        <w:gridCol w:w="3822"/>
        <w:gridCol w:w="9"/>
      </w:tblGrid>
      <w:tr w14:paraId="4FED8C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restart"/>
            <w:vAlign w:val="center"/>
          </w:tcPr>
          <w:p w14:paraId="1596AF62">
            <w:pPr>
              <w:ind w:left="-254" w:leftChars="-121" w:firstLine="276" w:firstLineChars="115"/>
              <w:rPr>
                <w:rFonts w:ascii="仿宋" w:hAnsi="仿宋" w:eastAsia="仿宋" w:cs="仿宋"/>
                <w:sz w:val="24"/>
              </w:rPr>
            </w:pPr>
          </w:p>
        </w:tc>
        <w:tc>
          <w:tcPr>
            <w:tcW w:w="1418" w:type="dxa"/>
            <w:vAlign w:val="center"/>
          </w:tcPr>
          <w:p w14:paraId="63F11F50">
            <w:pPr>
              <w:rPr>
                <w:rFonts w:ascii="仿宋" w:hAnsi="仿宋" w:eastAsia="仿宋" w:cs="仿宋"/>
                <w:sz w:val="24"/>
              </w:rPr>
            </w:pPr>
            <w:r>
              <w:rPr>
                <w:rFonts w:hint="eastAsia" w:ascii="仿宋" w:hAnsi="仿宋" w:eastAsia="仿宋" w:cs="仿宋"/>
                <w:sz w:val="24"/>
              </w:rPr>
              <w:t>电子资源名称（中文）</w:t>
            </w:r>
          </w:p>
        </w:tc>
        <w:tc>
          <w:tcPr>
            <w:tcW w:w="1983" w:type="dxa"/>
            <w:vAlign w:val="center"/>
          </w:tcPr>
          <w:p w14:paraId="51AD6356">
            <w:pPr>
              <w:rPr>
                <w:rFonts w:ascii="仿宋" w:hAnsi="仿宋" w:eastAsia="仿宋" w:cs="仿宋"/>
                <w:sz w:val="24"/>
              </w:rPr>
            </w:pPr>
            <w:r>
              <w:rPr>
                <w:rFonts w:hint="eastAsia" w:ascii="仿宋" w:hAnsi="仿宋" w:eastAsia="仿宋" w:cs="仿宋"/>
                <w:sz w:val="24"/>
              </w:rPr>
              <w:t>爱如生中国方志库第四集</w:t>
            </w:r>
          </w:p>
        </w:tc>
        <w:tc>
          <w:tcPr>
            <w:tcW w:w="1558" w:type="dxa"/>
            <w:vAlign w:val="center"/>
          </w:tcPr>
          <w:p w14:paraId="2A851518">
            <w:pPr>
              <w:rPr>
                <w:rFonts w:ascii="仿宋" w:hAnsi="仿宋" w:eastAsia="仿宋" w:cs="仿宋"/>
                <w:sz w:val="24"/>
              </w:rPr>
            </w:pPr>
            <w:r>
              <w:rPr>
                <w:rFonts w:hint="eastAsia" w:ascii="仿宋" w:hAnsi="仿宋" w:eastAsia="仿宋" w:cs="仿宋"/>
                <w:sz w:val="24"/>
              </w:rPr>
              <w:t>电子资源名称（英文）</w:t>
            </w:r>
          </w:p>
        </w:tc>
        <w:tc>
          <w:tcPr>
            <w:tcW w:w="3822" w:type="dxa"/>
            <w:vAlign w:val="center"/>
          </w:tcPr>
          <w:p w14:paraId="5C68D667">
            <w:pPr>
              <w:rPr>
                <w:rFonts w:hint="eastAsia" w:ascii="仿宋" w:hAnsi="仿宋" w:eastAsia="仿宋" w:cs="仿宋"/>
                <w:sz w:val="24"/>
                <w:lang w:val="en-US" w:eastAsia="zh-CN"/>
              </w:rPr>
            </w:pPr>
            <w:r>
              <w:rPr>
                <w:rFonts w:hint="eastAsia" w:ascii="仿宋" w:hAnsi="仿宋" w:eastAsia="仿宋" w:cs="仿宋"/>
                <w:sz w:val="24"/>
                <w:lang w:val="en-US" w:eastAsia="zh-CN"/>
              </w:rPr>
              <w:t>/</w:t>
            </w:r>
          </w:p>
        </w:tc>
      </w:tr>
      <w:tr w14:paraId="35156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continue"/>
            <w:vAlign w:val="center"/>
          </w:tcPr>
          <w:p w14:paraId="6567493E">
            <w:pPr>
              <w:ind w:left="-254" w:leftChars="-121" w:firstLine="276" w:firstLineChars="115"/>
              <w:rPr>
                <w:rFonts w:ascii="仿宋" w:hAnsi="仿宋" w:eastAsia="仿宋" w:cs="仿宋"/>
                <w:sz w:val="24"/>
              </w:rPr>
            </w:pPr>
          </w:p>
        </w:tc>
        <w:tc>
          <w:tcPr>
            <w:tcW w:w="1418" w:type="dxa"/>
            <w:vAlign w:val="center"/>
          </w:tcPr>
          <w:p w14:paraId="7BF47E55">
            <w:pPr>
              <w:rPr>
                <w:rFonts w:ascii="仿宋" w:hAnsi="仿宋" w:eastAsia="仿宋" w:cs="仿宋"/>
                <w:sz w:val="24"/>
              </w:rPr>
            </w:pPr>
            <w:r>
              <w:rPr>
                <w:rFonts w:hint="eastAsia" w:ascii="仿宋" w:hAnsi="仿宋" w:eastAsia="仿宋" w:cs="仿宋"/>
                <w:sz w:val="24"/>
              </w:rPr>
              <w:t>预算金额（最高限价）</w:t>
            </w:r>
          </w:p>
        </w:tc>
        <w:tc>
          <w:tcPr>
            <w:tcW w:w="1983" w:type="dxa"/>
            <w:vAlign w:val="center"/>
          </w:tcPr>
          <w:p w14:paraId="6D9A796C">
            <w:pPr>
              <w:rPr>
                <w:rFonts w:hint="default" w:ascii="仿宋" w:hAnsi="仿宋" w:eastAsia="仿宋" w:cs="仿宋"/>
                <w:sz w:val="24"/>
                <w:lang w:val="en-US" w:eastAsia="zh-CN"/>
              </w:rPr>
            </w:pPr>
            <w:r>
              <w:rPr>
                <w:rFonts w:hint="eastAsia" w:ascii="仿宋" w:hAnsi="仿宋" w:eastAsia="仿宋" w:cs="仿宋"/>
                <w:sz w:val="24"/>
                <w:lang w:val="en-US" w:eastAsia="zh-CN"/>
              </w:rPr>
              <w:t>58万</w:t>
            </w:r>
          </w:p>
        </w:tc>
        <w:tc>
          <w:tcPr>
            <w:tcW w:w="1558" w:type="dxa"/>
            <w:vAlign w:val="center"/>
          </w:tcPr>
          <w:p w14:paraId="178DD40B">
            <w:pPr>
              <w:rPr>
                <w:rFonts w:hint="default" w:ascii="仿宋" w:hAnsi="仿宋" w:eastAsia="仿宋" w:cs="仿宋"/>
                <w:sz w:val="24"/>
                <w:lang w:val="en-US" w:eastAsia="zh-CN"/>
              </w:rPr>
            </w:pPr>
            <w:r>
              <w:rPr>
                <w:rFonts w:hint="eastAsia" w:ascii="仿宋" w:hAnsi="仿宋" w:eastAsia="仿宋" w:cs="仿宋"/>
                <w:sz w:val="24"/>
                <w:lang w:val="en-US" w:eastAsia="zh-CN"/>
              </w:rPr>
              <w:t>论证编号</w:t>
            </w:r>
          </w:p>
        </w:tc>
        <w:tc>
          <w:tcPr>
            <w:tcW w:w="3822" w:type="dxa"/>
            <w:vAlign w:val="center"/>
          </w:tcPr>
          <w:p w14:paraId="40C51479">
            <w:pPr>
              <w:rPr>
                <w:rFonts w:ascii="仿宋" w:hAnsi="仿宋" w:eastAsia="仿宋" w:cs="仿宋"/>
                <w:sz w:val="24"/>
              </w:rPr>
            </w:pPr>
            <w:r>
              <w:rPr>
                <w:rFonts w:hint="eastAsia" w:ascii="仿宋" w:hAnsi="仿宋" w:eastAsia="仿宋" w:cs="仿宋"/>
                <w:sz w:val="24"/>
              </w:rPr>
              <w:t>LZ202512004</w:t>
            </w:r>
          </w:p>
        </w:tc>
      </w:tr>
      <w:tr w14:paraId="34D0E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vAlign w:val="center"/>
          </w:tcPr>
          <w:p w14:paraId="0A60C19F">
            <w:pPr>
              <w:rPr>
                <w:rFonts w:ascii="仿宋" w:hAnsi="仿宋" w:eastAsia="仿宋" w:cs="仿宋"/>
                <w:sz w:val="24"/>
              </w:rPr>
            </w:pPr>
          </w:p>
        </w:tc>
        <w:tc>
          <w:tcPr>
            <w:tcW w:w="1418" w:type="dxa"/>
            <w:tcBorders>
              <w:top w:val="single" w:color="auto" w:sz="4" w:space="0"/>
              <w:bottom w:val="single" w:color="auto" w:sz="4" w:space="0"/>
            </w:tcBorders>
            <w:vAlign w:val="center"/>
          </w:tcPr>
          <w:p w14:paraId="0459259F">
            <w:pPr>
              <w:rPr>
                <w:rFonts w:ascii="仿宋" w:hAnsi="仿宋" w:eastAsia="仿宋" w:cs="仿宋"/>
                <w:sz w:val="24"/>
              </w:rPr>
            </w:pPr>
            <w:r>
              <w:rPr>
                <w:rFonts w:hint="eastAsia" w:ascii="仿宋" w:hAnsi="仿宋" w:eastAsia="仿宋" w:cs="仿宋"/>
                <w:sz w:val="24"/>
              </w:rPr>
              <w:t>申请单一来源方式采购的理由</w:t>
            </w:r>
          </w:p>
        </w:tc>
        <w:tc>
          <w:tcPr>
            <w:tcW w:w="7363" w:type="dxa"/>
            <w:gridSpan w:val="3"/>
            <w:tcBorders>
              <w:top w:val="single" w:color="auto" w:sz="4" w:space="0"/>
              <w:bottom w:val="single" w:color="auto" w:sz="4" w:space="0"/>
            </w:tcBorders>
            <w:vAlign w:val="center"/>
          </w:tcPr>
          <w:p w14:paraId="0E64F5F1">
            <w:pP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其他具有复杂性、专门性、特殊性的项目，且只有唯一供应商的。</w:t>
            </w:r>
          </w:p>
        </w:tc>
      </w:tr>
      <w:tr w14:paraId="5E785F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tcBorders>
              <w:bottom w:val="single" w:color="auto" w:sz="4" w:space="0"/>
            </w:tcBorders>
            <w:vAlign w:val="center"/>
          </w:tcPr>
          <w:p w14:paraId="2C56D24D">
            <w:pPr>
              <w:rPr>
                <w:rFonts w:ascii="仿宋" w:hAnsi="仿宋" w:eastAsia="仿宋" w:cs="仿宋"/>
                <w:sz w:val="24"/>
              </w:rPr>
            </w:pPr>
          </w:p>
        </w:tc>
        <w:tc>
          <w:tcPr>
            <w:tcW w:w="1418" w:type="dxa"/>
            <w:tcBorders>
              <w:top w:val="single" w:color="auto" w:sz="4" w:space="0"/>
              <w:bottom w:val="single" w:color="auto" w:sz="4" w:space="0"/>
            </w:tcBorders>
            <w:vAlign w:val="center"/>
          </w:tcPr>
          <w:p w14:paraId="182EF006">
            <w:pPr>
              <w:rPr>
                <w:rFonts w:ascii="仿宋" w:hAnsi="仿宋" w:eastAsia="仿宋" w:cs="仿宋"/>
                <w:sz w:val="24"/>
              </w:rPr>
            </w:pPr>
            <w:r>
              <w:rPr>
                <w:rFonts w:hint="eastAsia" w:ascii="仿宋" w:hAnsi="仿宋" w:eastAsia="仿宋" w:cs="仿宋"/>
                <w:sz w:val="24"/>
              </w:rPr>
              <w:t>厂商基本情况</w:t>
            </w:r>
          </w:p>
        </w:tc>
        <w:tc>
          <w:tcPr>
            <w:tcW w:w="7363" w:type="dxa"/>
            <w:gridSpan w:val="3"/>
            <w:tcBorders>
              <w:top w:val="single" w:color="auto" w:sz="4" w:space="0"/>
              <w:bottom w:val="single" w:color="auto" w:sz="4" w:space="0"/>
            </w:tcBorders>
            <w:vAlign w:val="center"/>
          </w:tcPr>
          <w:p w14:paraId="53ABC710">
            <w:pPr>
              <w:rPr>
                <w:rFonts w:ascii="仿宋" w:hAnsi="仿宋" w:eastAsia="仿宋" w:cs="仿宋"/>
                <w:sz w:val="24"/>
              </w:rPr>
            </w:pPr>
            <w:r>
              <w:rPr>
                <w:rFonts w:hint="eastAsia" w:ascii="仿宋" w:hAnsi="仿宋" w:eastAsia="仿宋" w:cs="仿宋"/>
                <w:sz w:val="24"/>
              </w:rPr>
              <w:t>厂商名称：</w:t>
            </w:r>
            <w:r>
              <w:rPr>
                <w:rFonts w:ascii="仿宋" w:hAnsi="仿宋" w:eastAsia="仿宋" w:cs="仿宋"/>
                <w:sz w:val="24"/>
              </w:rPr>
              <w:t>北京爱如生数字化技术研究中心</w:t>
            </w:r>
          </w:p>
          <w:p w14:paraId="7FDFDDEE">
            <w:pPr>
              <w:rPr>
                <w:rFonts w:ascii="仿宋" w:hAnsi="仿宋" w:eastAsia="仿宋" w:cs="仿宋"/>
                <w:sz w:val="24"/>
              </w:rPr>
            </w:pPr>
            <w:r>
              <w:rPr>
                <w:rFonts w:hint="eastAsia" w:ascii="仿宋" w:hAnsi="仿宋" w:eastAsia="仿宋" w:cs="仿宋"/>
                <w:sz w:val="24"/>
              </w:rPr>
              <w:t>联系人：赵杰新</w:t>
            </w:r>
          </w:p>
        </w:tc>
      </w:tr>
      <w:tr w14:paraId="3C131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735"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4505FA26">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2" w:space="0"/>
              <w:right w:val="single" w:color="auto" w:sz="2" w:space="0"/>
            </w:tcBorders>
            <w:vAlign w:val="center"/>
          </w:tcPr>
          <w:p w14:paraId="0FD0129D">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电子资源供应商（代理商）</w:t>
            </w:r>
          </w:p>
        </w:tc>
        <w:tc>
          <w:tcPr>
            <w:tcW w:w="7363" w:type="dxa"/>
            <w:gridSpan w:val="3"/>
            <w:tcBorders>
              <w:top w:val="single" w:color="auto" w:sz="2" w:space="0"/>
              <w:left w:val="single" w:color="auto" w:sz="2" w:space="0"/>
              <w:bottom w:val="single" w:color="auto" w:sz="2" w:space="0"/>
              <w:right w:val="single" w:color="auto" w:sz="2" w:space="0"/>
            </w:tcBorders>
            <w:vAlign w:val="center"/>
          </w:tcPr>
          <w:p w14:paraId="57029E87">
            <w:pPr>
              <w:rPr>
                <w:rFonts w:ascii="仿宋" w:hAnsi="仿宋" w:eastAsia="仿宋" w:cs="仿宋"/>
                <w:sz w:val="24"/>
              </w:rPr>
            </w:pPr>
            <w:r>
              <w:rPr>
                <w:rFonts w:hint="eastAsia" w:ascii="仿宋" w:hAnsi="仿宋" w:eastAsia="仿宋" w:cs="仿宋"/>
                <w:sz w:val="24"/>
              </w:rPr>
              <w:t>北京爱如生数字化技术研究中心</w:t>
            </w:r>
          </w:p>
        </w:tc>
      </w:tr>
      <w:tr w14:paraId="6E0248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61"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079AEB18">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2" w:space="0"/>
              <w:right w:val="single" w:color="auto" w:sz="2" w:space="0"/>
            </w:tcBorders>
            <w:vAlign w:val="center"/>
          </w:tcPr>
          <w:p w14:paraId="7B9EAEA2">
            <w:pPr>
              <w:rPr>
                <w:rFonts w:ascii="仿宋" w:hAnsi="仿宋" w:eastAsia="仿宋" w:cs="仿宋"/>
                <w:sz w:val="24"/>
              </w:rPr>
            </w:pPr>
            <w:r>
              <w:rPr>
                <w:rFonts w:hint="eastAsia" w:ascii="仿宋" w:hAnsi="仿宋" w:eastAsia="仿宋" w:cs="仿宋"/>
                <w:sz w:val="24"/>
              </w:rPr>
              <w:t>服务说明</w:t>
            </w:r>
          </w:p>
        </w:tc>
        <w:tc>
          <w:tcPr>
            <w:tcW w:w="7363" w:type="dxa"/>
            <w:gridSpan w:val="3"/>
            <w:tcBorders>
              <w:top w:val="single" w:color="auto" w:sz="2" w:space="0"/>
              <w:left w:val="single" w:color="auto" w:sz="2" w:space="0"/>
              <w:bottom w:val="single" w:color="auto" w:sz="2" w:space="0"/>
              <w:right w:val="single" w:color="auto" w:sz="2" w:space="0"/>
            </w:tcBorders>
            <w:vAlign w:val="center"/>
          </w:tcPr>
          <w:p w14:paraId="48664A65">
            <w:pPr>
              <w:rPr>
                <w:rFonts w:ascii="仿宋" w:hAnsi="仿宋" w:eastAsia="仿宋" w:cs="仿宋"/>
                <w:sz w:val="24"/>
              </w:rPr>
            </w:pPr>
            <w:r>
              <w:rPr>
                <w:rFonts w:hint="eastAsia" w:ascii="仿宋" w:hAnsi="仿宋" w:eastAsia="仿宋" w:cs="仿宋"/>
                <w:sz w:val="24"/>
              </w:rPr>
              <w:t>1. 供应商将安排负责人随时解答客户使用中的问题；随时提供采购方管理人员需要的访问数据。</w:t>
            </w:r>
            <w:r>
              <w:rPr>
                <w:rFonts w:hint="eastAsia" w:ascii="仿宋" w:hAnsi="仿宋" w:eastAsia="仿宋" w:cs="仿宋"/>
                <w:sz w:val="24"/>
              </w:rPr>
              <w:br w:type="textWrapping"/>
            </w:r>
            <w:r>
              <w:rPr>
                <w:rFonts w:hint="eastAsia" w:ascii="仿宋" w:hAnsi="仿宋" w:eastAsia="仿宋" w:cs="仿宋"/>
                <w:sz w:val="24"/>
              </w:rPr>
              <w:t xml:space="preserve">    7×24 小时有专业技术人员提供免费技术咨询，负责人:赵杰新，电话：010-533880</w:t>
            </w:r>
            <w:r>
              <w:rPr>
                <w:rFonts w:hint="eastAsia" w:ascii="仿宋" w:hAnsi="仿宋" w:eastAsia="仿宋" w:cs="仿宋"/>
                <w:sz w:val="24"/>
                <w:lang w:val="en-US" w:eastAsia="zh-CN"/>
              </w:rPr>
              <w:t>**</w:t>
            </w:r>
            <w:r>
              <w:rPr>
                <w:rFonts w:hint="eastAsia" w:ascii="仿宋" w:hAnsi="仿宋" w:eastAsia="仿宋" w:cs="仿宋"/>
                <w:sz w:val="24"/>
              </w:rPr>
              <w:t xml:space="preserve"> 1891193</w:t>
            </w:r>
            <w:r>
              <w:rPr>
                <w:rFonts w:hint="eastAsia" w:ascii="仿宋" w:hAnsi="仿宋" w:eastAsia="仿宋" w:cs="仿宋"/>
                <w:sz w:val="24"/>
                <w:lang w:val="en-US" w:eastAsia="zh-CN"/>
              </w:rPr>
              <w:t>****</w:t>
            </w:r>
            <w:r>
              <w:rPr>
                <w:rFonts w:hint="eastAsia" w:ascii="仿宋" w:hAnsi="仿宋" w:eastAsia="仿宋" w:cs="仿宋"/>
                <w:sz w:val="24"/>
              </w:rPr>
              <w:t xml:space="preserve"> E-mail:eru</w:t>
            </w:r>
            <w:r>
              <w:rPr>
                <w:rFonts w:hint="eastAsia" w:ascii="仿宋" w:hAnsi="仿宋" w:eastAsia="仿宋" w:cs="仿宋"/>
                <w:sz w:val="24"/>
                <w:lang w:val="en-US" w:eastAsia="zh-CN"/>
              </w:rPr>
              <w:t>***</w:t>
            </w:r>
            <w:r>
              <w:rPr>
                <w:rFonts w:hint="eastAsia" w:ascii="仿宋" w:hAnsi="仿宋" w:eastAsia="仿宋" w:cs="仿宋"/>
                <w:sz w:val="24"/>
              </w:rPr>
              <w:t>@er07.com</w:t>
            </w:r>
            <w:r>
              <w:rPr>
                <w:rFonts w:hint="eastAsia" w:ascii="仿宋" w:hAnsi="仿宋" w:eastAsia="仿宋" w:cs="仿宋"/>
                <w:sz w:val="24"/>
              </w:rPr>
              <w:br w:type="textWrapping"/>
            </w:r>
            <w:r>
              <w:rPr>
                <w:rFonts w:hint="eastAsia" w:ascii="仿宋" w:hAnsi="仿宋" w:eastAsia="仿宋" w:cs="仿宋"/>
                <w:sz w:val="24"/>
              </w:rPr>
              <w:t>2. 技术指标要求：中国方志库第四集所收地方志类典籍，均采用学界公认的权威版本为底本，扫描精度均在300DPI以上，经严密核查，纠正错页和乱简。文字识别准确率在万分之五左右，</w:t>
            </w:r>
            <w:bookmarkStart w:id="0" w:name="_GoBack"/>
            <w:bookmarkEnd w:id="0"/>
            <w:r>
              <w:rPr>
                <w:rFonts w:hint="eastAsia" w:ascii="仿宋" w:hAnsi="仿宋" w:eastAsia="仿宋" w:cs="仿宋"/>
                <w:sz w:val="24"/>
              </w:rPr>
              <w:t>并且这一数值在不断升级更新中，同时以爱如生独有之古籍数字再造技术制作，还原式页面，左图右文逐页对照，可随时参考核查，确保能满足学术研究和教学使用需求</w:t>
            </w:r>
          </w:p>
          <w:p w14:paraId="6697142D">
            <w:pPr>
              <w:rPr>
                <w:rFonts w:ascii="仿宋" w:hAnsi="仿宋" w:eastAsia="仿宋" w:cs="仿宋"/>
                <w:sz w:val="24"/>
              </w:rPr>
            </w:pPr>
          </w:p>
          <w:p w14:paraId="6A8CD687">
            <w:pPr>
              <w:rPr>
                <w:rFonts w:ascii="仿宋" w:hAnsi="仿宋" w:eastAsia="仿宋" w:cs="仿宋"/>
                <w:sz w:val="24"/>
              </w:rPr>
            </w:pPr>
          </w:p>
          <w:p w14:paraId="2E805E01">
            <w:pPr>
              <w:rPr>
                <w:rFonts w:ascii="仿宋" w:hAnsi="仿宋" w:eastAsia="仿宋" w:cs="仿宋"/>
                <w:sz w:val="24"/>
              </w:rPr>
            </w:pPr>
          </w:p>
        </w:tc>
      </w:tr>
      <w:tr w14:paraId="6B27D6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84"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514C77D2">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4" w:space="0"/>
              <w:right w:val="single" w:color="auto" w:sz="2" w:space="0"/>
            </w:tcBorders>
            <w:vAlign w:val="center"/>
          </w:tcPr>
          <w:p w14:paraId="46C2D358">
            <w:pPr>
              <w:rPr>
                <w:rFonts w:ascii="仿宋" w:hAnsi="仿宋" w:eastAsia="仿宋" w:cs="仿宋"/>
                <w:sz w:val="24"/>
              </w:rPr>
            </w:pPr>
            <w:r>
              <w:rPr>
                <w:rFonts w:hint="eastAsia" w:ascii="仿宋" w:hAnsi="仿宋" w:eastAsia="仿宋" w:cs="仿宋"/>
                <w:sz w:val="24"/>
              </w:rPr>
              <w:t>内容简介</w:t>
            </w:r>
          </w:p>
        </w:tc>
        <w:tc>
          <w:tcPr>
            <w:tcW w:w="7363" w:type="dxa"/>
            <w:gridSpan w:val="3"/>
            <w:tcBorders>
              <w:top w:val="single" w:color="auto" w:sz="2" w:space="0"/>
              <w:left w:val="single" w:color="auto" w:sz="2" w:space="0"/>
              <w:bottom w:val="single" w:color="auto" w:sz="4" w:space="0"/>
              <w:right w:val="single" w:color="auto" w:sz="2" w:space="0"/>
            </w:tcBorders>
            <w:vAlign w:val="center"/>
          </w:tcPr>
          <w:p w14:paraId="6DE90DBC">
            <w:pPr>
              <w:rPr>
                <w:rFonts w:ascii="仿宋" w:hAnsi="仿宋" w:eastAsia="仿宋" w:cs="仿宋"/>
                <w:sz w:val="24"/>
              </w:rPr>
            </w:pPr>
            <w:r>
              <w:rPr>
                <w:rFonts w:hint="eastAsia" w:ascii="仿宋" w:hAnsi="仿宋" w:eastAsia="仿宋" w:cs="仿宋"/>
                <w:sz w:val="24"/>
              </w:rPr>
              <w:t>中国方志库是专门收录历代地方志的全文检索版大型古籍数据库。中国方志库收录自汉魏至民国刊布的全国地理总志（如方舆志、一统志等）和各地方志（如省通志、府州志、州县志、乡镇志等）共七千余部，各类专志（如山川志、边防志、都城志、宫殿志、寺观志、祠墓志等）和各种杂志（如乡土志、风俗志、考古志、游历志等）以及外志（如外国志、交流志等）共二千余部，总计一万部。现存历代地方志类典籍网罗殆尽。本次采购内容为第四集，含宋元-民国省府州县乡镇志2,000部。</w:t>
            </w:r>
          </w:p>
        </w:tc>
      </w:tr>
      <w:tr w14:paraId="18325C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03" w:hRule="atLeast"/>
        </w:trPr>
        <w:tc>
          <w:tcPr>
            <w:tcW w:w="841" w:type="dxa"/>
            <w:vMerge w:val="continue"/>
            <w:vAlign w:val="center"/>
          </w:tcPr>
          <w:p w14:paraId="362409DA">
            <w:pPr>
              <w:rPr>
                <w:rFonts w:ascii="仿宋" w:hAnsi="仿宋" w:eastAsia="仿宋" w:cs="仿宋"/>
                <w:sz w:val="24"/>
              </w:rPr>
            </w:pPr>
          </w:p>
        </w:tc>
        <w:tc>
          <w:tcPr>
            <w:tcW w:w="1418" w:type="dxa"/>
            <w:vAlign w:val="center"/>
          </w:tcPr>
          <w:p w14:paraId="2FCE0D32">
            <w:pPr>
              <w:rPr>
                <w:rFonts w:ascii="仿宋" w:hAnsi="仿宋" w:eastAsia="仿宋" w:cs="仿宋"/>
                <w:sz w:val="24"/>
              </w:rPr>
            </w:pPr>
            <w:r>
              <w:rPr>
                <w:rFonts w:hint="eastAsia" w:ascii="仿宋" w:hAnsi="仿宋" w:eastAsia="仿宋" w:cs="仿宋"/>
                <w:sz w:val="24"/>
              </w:rPr>
              <w:t>检索系统</w:t>
            </w:r>
          </w:p>
        </w:tc>
        <w:tc>
          <w:tcPr>
            <w:tcW w:w="7363" w:type="dxa"/>
            <w:gridSpan w:val="3"/>
            <w:vAlign w:val="center"/>
          </w:tcPr>
          <w:p w14:paraId="301ACDCB">
            <w:pPr>
              <w:rPr>
                <w:rFonts w:ascii="仿宋" w:hAnsi="仿宋" w:eastAsia="仿宋" w:cs="仿宋"/>
                <w:sz w:val="24"/>
              </w:rPr>
            </w:pPr>
            <w:r>
              <w:rPr>
                <w:rFonts w:hint="eastAsia" w:ascii="仿宋" w:hAnsi="仿宋" w:eastAsia="仿宋" w:cs="仿宋"/>
                <w:sz w:val="24"/>
              </w:rPr>
              <w:t>不适用</w:t>
            </w:r>
          </w:p>
        </w:tc>
      </w:tr>
      <w:tr w14:paraId="34B809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25" w:hRule="atLeast"/>
        </w:trPr>
        <w:tc>
          <w:tcPr>
            <w:tcW w:w="841" w:type="dxa"/>
            <w:vMerge w:val="restart"/>
            <w:tcBorders>
              <w:top w:val="single" w:color="auto" w:sz="4" w:space="0"/>
            </w:tcBorders>
          </w:tcPr>
          <w:p w14:paraId="4A7BDBF1">
            <w:pPr>
              <w:rPr>
                <w:rFonts w:ascii="仿宋" w:hAnsi="仿宋" w:eastAsia="仿宋" w:cs="仿宋"/>
                <w:b/>
                <w:sz w:val="24"/>
              </w:rPr>
            </w:pPr>
          </w:p>
          <w:p w14:paraId="059EF7A1">
            <w:pPr>
              <w:rPr>
                <w:rFonts w:ascii="仿宋" w:hAnsi="仿宋" w:eastAsia="仿宋" w:cs="仿宋"/>
                <w:b/>
                <w:sz w:val="24"/>
              </w:rPr>
            </w:pPr>
          </w:p>
          <w:p w14:paraId="4F38BF91">
            <w:pPr>
              <w:rPr>
                <w:rFonts w:ascii="仿宋" w:hAnsi="仿宋" w:eastAsia="仿宋" w:cs="仿宋"/>
                <w:b/>
                <w:sz w:val="24"/>
              </w:rPr>
            </w:pPr>
          </w:p>
          <w:p w14:paraId="0100ED0D">
            <w:pPr>
              <w:rPr>
                <w:rFonts w:ascii="仿宋" w:hAnsi="仿宋" w:eastAsia="仿宋" w:cs="仿宋"/>
                <w:b/>
                <w:sz w:val="24"/>
              </w:rPr>
            </w:pPr>
          </w:p>
          <w:p w14:paraId="068B0289">
            <w:pPr>
              <w:rPr>
                <w:rFonts w:ascii="仿宋" w:hAnsi="仿宋" w:eastAsia="仿宋" w:cs="仿宋"/>
                <w:b/>
                <w:sz w:val="24"/>
              </w:rPr>
            </w:pPr>
          </w:p>
          <w:p w14:paraId="66DF9C0D">
            <w:pPr>
              <w:jc w:val="center"/>
              <w:rPr>
                <w:rFonts w:ascii="仿宋" w:hAnsi="仿宋" w:eastAsia="仿宋" w:cs="仿宋"/>
                <w:b/>
                <w:sz w:val="24"/>
              </w:rPr>
            </w:pPr>
            <w:r>
              <w:rPr>
                <w:rFonts w:hint="eastAsia" w:ascii="仿宋" w:hAnsi="仿宋" w:eastAsia="仿宋" w:cs="仿宋"/>
                <w:b/>
                <w:sz w:val="24"/>
              </w:rPr>
              <w:t>价 值 与 成 本 核 算</w:t>
            </w:r>
          </w:p>
          <w:p w14:paraId="380A3EE7">
            <w:pPr>
              <w:ind w:left="113" w:right="113"/>
              <w:jc w:val="center"/>
              <w:rPr>
                <w:rFonts w:ascii="仿宋" w:hAnsi="仿宋" w:eastAsia="仿宋" w:cs="仿宋"/>
                <w:sz w:val="24"/>
              </w:rPr>
            </w:pPr>
          </w:p>
          <w:p w14:paraId="0785169F">
            <w:pPr>
              <w:ind w:left="113" w:right="113"/>
              <w:jc w:val="center"/>
              <w:rPr>
                <w:rFonts w:ascii="仿宋" w:hAnsi="仿宋" w:eastAsia="仿宋" w:cs="仿宋"/>
                <w:sz w:val="24"/>
              </w:rPr>
            </w:pPr>
          </w:p>
          <w:p w14:paraId="4C353078">
            <w:pPr>
              <w:ind w:left="113" w:right="113"/>
              <w:jc w:val="center"/>
              <w:rPr>
                <w:rFonts w:ascii="仿宋" w:hAnsi="仿宋" w:eastAsia="仿宋" w:cs="仿宋"/>
                <w:sz w:val="24"/>
              </w:rPr>
            </w:pPr>
          </w:p>
          <w:p w14:paraId="09D323B4">
            <w:pPr>
              <w:ind w:left="113" w:right="113"/>
              <w:jc w:val="center"/>
              <w:rPr>
                <w:rFonts w:ascii="仿宋" w:hAnsi="仿宋" w:eastAsia="仿宋" w:cs="仿宋"/>
                <w:sz w:val="24"/>
              </w:rPr>
            </w:pPr>
          </w:p>
          <w:p w14:paraId="1D6B960F">
            <w:pPr>
              <w:ind w:left="113" w:right="113"/>
              <w:jc w:val="center"/>
              <w:rPr>
                <w:rFonts w:ascii="仿宋" w:hAnsi="仿宋" w:eastAsia="仿宋" w:cs="仿宋"/>
                <w:b/>
                <w:sz w:val="24"/>
              </w:rPr>
            </w:pPr>
          </w:p>
        </w:tc>
        <w:tc>
          <w:tcPr>
            <w:tcW w:w="1418" w:type="dxa"/>
            <w:tcBorders>
              <w:top w:val="single" w:color="auto" w:sz="4" w:space="0"/>
            </w:tcBorders>
            <w:vAlign w:val="center"/>
          </w:tcPr>
          <w:p w14:paraId="61F7ED4A">
            <w:pPr>
              <w:rPr>
                <w:rFonts w:ascii="仿宋" w:hAnsi="仿宋" w:eastAsia="仿宋" w:cs="仿宋"/>
                <w:sz w:val="24"/>
              </w:rPr>
            </w:pPr>
            <w:r>
              <w:rPr>
                <w:rFonts w:hint="eastAsia" w:ascii="仿宋" w:hAnsi="仿宋" w:eastAsia="仿宋" w:cs="仿宋"/>
                <w:sz w:val="24"/>
              </w:rPr>
              <w:t>电子资源价格及使用期限</w:t>
            </w:r>
          </w:p>
        </w:tc>
        <w:tc>
          <w:tcPr>
            <w:tcW w:w="7363" w:type="dxa"/>
            <w:gridSpan w:val="3"/>
            <w:tcBorders>
              <w:top w:val="single" w:color="auto" w:sz="4" w:space="0"/>
            </w:tcBorders>
            <w:vAlign w:val="center"/>
          </w:tcPr>
          <w:p w14:paraId="5A59584F">
            <w:pPr>
              <w:rPr>
                <w:rFonts w:ascii="仿宋" w:hAnsi="仿宋" w:eastAsia="仿宋" w:cs="仿宋"/>
                <w:sz w:val="24"/>
              </w:rPr>
            </w:pPr>
            <w:r>
              <w:rPr>
                <w:rFonts w:hint="eastAsia" w:ascii="仿宋" w:hAnsi="仿宋" w:eastAsia="仿宋" w:cs="仿宋"/>
                <w:sz w:val="24"/>
              </w:rPr>
              <w:t>58万，永久使用权。</w:t>
            </w:r>
          </w:p>
        </w:tc>
      </w:tr>
      <w:tr w14:paraId="1C424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36" w:hRule="atLeast"/>
        </w:trPr>
        <w:tc>
          <w:tcPr>
            <w:tcW w:w="841" w:type="dxa"/>
            <w:vMerge w:val="continue"/>
            <w:textDirection w:val="tbRlV"/>
            <w:vAlign w:val="center"/>
          </w:tcPr>
          <w:p w14:paraId="42E22E06">
            <w:pPr>
              <w:ind w:left="113" w:right="113"/>
              <w:jc w:val="center"/>
              <w:rPr>
                <w:rFonts w:ascii="仿宋" w:hAnsi="仿宋" w:eastAsia="仿宋" w:cs="仿宋"/>
                <w:sz w:val="24"/>
              </w:rPr>
            </w:pPr>
          </w:p>
        </w:tc>
        <w:tc>
          <w:tcPr>
            <w:tcW w:w="1418" w:type="dxa"/>
            <w:tcBorders>
              <w:bottom w:val="single" w:color="auto" w:sz="6" w:space="0"/>
            </w:tcBorders>
            <w:vAlign w:val="center"/>
          </w:tcPr>
          <w:p w14:paraId="4C936D55">
            <w:pPr>
              <w:rPr>
                <w:rFonts w:ascii="仿宋" w:hAnsi="仿宋" w:eastAsia="仿宋" w:cs="仿宋"/>
                <w:sz w:val="24"/>
              </w:rPr>
            </w:pPr>
            <w:r>
              <w:rPr>
                <w:rFonts w:hint="eastAsia" w:ascii="仿宋" w:hAnsi="仿宋" w:eastAsia="仿宋" w:cs="仿宋"/>
                <w:sz w:val="24"/>
              </w:rPr>
              <w:t>价格上涨幅度及金额</w:t>
            </w:r>
          </w:p>
        </w:tc>
        <w:tc>
          <w:tcPr>
            <w:tcW w:w="7363" w:type="dxa"/>
            <w:gridSpan w:val="3"/>
            <w:tcBorders>
              <w:bottom w:val="single" w:color="auto" w:sz="6" w:space="0"/>
            </w:tcBorders>
            <w:vAlign w:val="center"/>
          </w:tcPr>
          <w:p w14:paraId="61C70E74">
            <w:pPr>
              <w:rPr>
                <w:rFonts w:ascii="仿宋" w:hAnsi="仿宋" w:eastAsia="仿宋" w:cs="仿宋"/>
                <w:sz w:val="24"/>
              </w:rPr>
            </w:pPr>
            <w:r>
              <w:rPr>
                <w:rFonts w:hint="eastAsia" w:ascii="仿宋" w:hAnsi="仿宋" w:eastAsia="仿宋" w:cs="仿宋"/>
                <w:sz w:val="24"/>
              </w:rPr>
              <w:t>不适用</w:t>
            </w:r>
          </w:p>
        </w:tc>
      </w:tr>
      <w:tr w14:paraId="44701C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94" w:hRule="atLeast"/>
        </w:trPr>
        <w:tc>
          <w:tcPr>
            <w:tcW w:w="841" w:type="dxa"/>
            <w:vMerge w:val="continue"/>
            <w:textDirection w:val="tbRlV"/>
            <w:vAlign w:val="center"/>
          </w:tcPr>
          <w:p w14:paraId="412D86DF">
            <w:pPr>
              <w:ind w:left="113" w:right="113"/>
              <w:jc w:val="center"/>
              <w:rPr>
                <w:rFonts w:ascii="仿宋" w:hAnsi="仿宋" w:eastAsia="仿宋" w:cs="仿宋"/>
                <w:sz w:val="24"/>
              </w:rPr>
            </w:pPr>
          </w:p>
        </w:tc>
        <w:tc>
          <w:tcPr>
            <w:tcW w:w="1418" w:type="dxa"/>
            <w:tcBorders>
              <w:bottom w:val="single" w:color="auto" w:sz="6" w:space="0"/>
            </w:tcBorders>
            <w:vAlign w:val="center"/>
          </w:tcPr>
          <w:p w14:paraId="0222DD48">
            <w:pPr>
              <w:rPr>
                <w:rFonts w:ascii="仿宋" w:hAnsi="仿宋" w:eastAsia="仿宋" w:cs="仿宋"/>
                <w:sz w:val="24"/>
              </w:rPr>
            </w:pPr>
            <w:r>
              <w:rPr>
                <w:rFonts w:hint="eastAsia" w:ascii="仿宋" w:hAnsi="仿宋" w:eastAsia="仿宋" w:cs="仿宋"/>
                <w:sz w:val="24"/>
              </w:rPr>
              <w:t>与纸质文献性价比较</w:t>
            </w:r>
          </w:p>
        </w:tc>
        <w:tc>
          <w:tcPr>
            <w:tcW w:w="7363" w:type="dxa"/>
            <w:gridSpan w:val="3"/>
            <w:tcBorders>
              <w:bottom w:val="single" w:color="auto" w:sz="6" w:space="0"/>
            </w:tcBorders>
            <w:vAlign w:val="center"/>
          </w:tcPr>
          <w:p w14:paraId="446EC5F1">
            <w:pPr>
              <w:rPr>
                <w:rFonts w:ascii="仿宋" w:hAnsi="仿宋" w:eastAsia="仿宋" w:cs="仿宋"/>
                <w:sz w:val="24"/>
              </w:rPr>
            </w:pPr>
            <w:r>
              <w:rPr>
                <w:rFonts w:hint="eastAsia" w:ascii="仿宋" w:hAnsi="仿宋" w:eastAsia="仿宋" w:cs="仿宋"/>
                <w:sz w:val="24"/>
              </w:rPr>
              <w:t>不适用</w:t>
            </w:r>
          </w:p>
        </w:tc>
      </w:tr>
      <w:tr w14:paraId="2C5121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1705" w:hRule="atLeast"/>
        </w:trPr>
        <w:tc>
          <w:tcPr>
            <w:tcW w:w="841" w:type="dxa"/>
            <w:vMerge w:val="continue"/>
          </w:tcPr>
          <w:p w14:paraId="5C90072C">
            <w:pPr>
              <w:ind w:left="113" w:right="113"/>
              <w:jc w:val="center"/>
              <w:rPr>
                <w:rFonts w:ascii="仿宋" w:hAnsi="仿宋" w:eastAsia="仿宋" w:cs="仿宋"/>
                <w:b/>
                <w:sz w:val="24"/>
              </w:rPr>
            </w:pPr>
          </w:p>
        </w:tc>
        <w:tc>
          <w:tcPr>
            <w:tcW w:w="1418" w:type="dxa"/>
            <w:vAlign w:val="center"/>
          </w:tcPr>
          <w:p w14:paraId="548B188B">
            <w:pPr>
              <w:rPr>
                <w:rFonts w:ascii="仿宋" w:hAnsi="仿宋" w:eastAsia="仿宋" w:cs="仿宋"/>
                <w:sz w:val="24"/>
              </w:rPr>
            </w:pPr>
            <w:r>
              <w:rPr>
                <w:rFonts w:hint="eastAsia" w:ascii="仿宋" w:hAnsi="仿宋" w:eastAsia="仿宋" w:cs="仿宋"/>
                <w:sz w:val="24"/>
              </w:rPr>
              <w:t>预算金额依据</w:t>
            </w:r>
          </w:p>
        </w:tc>
        <w:tc>
          <w:tcPr>
            <w:tcW w:w="7363" w:type="dxa"/>
            <w:gridSpan w:val="3"/>
            <w:vAlign w:val="center"/>
          </w:tcPr>
          <w:p w14:paraId="61741208">
            <w:pPr>
              <w:rPr>
                <w:rFonts w:ascii="仿宋" w:hAnsi="仿宋" w:eastAsia="仿宋" w:cs="仿宋"/>
                <w:sz w:val="24"/>
              </w:rPr>
            </w:pPr>
            <w:r>
              <w:rPr>
                <w:rFonts w:hint="eastAsia" w:ascii="仿宋" w:hAnsi="仿宋" w:eastAsia="仿宋" w:cs="仿宋"/>
                <w:sz w:val="24"/>
              </w:rPr>
              <w:t>按照出版社报价，出版社报价依据为按照图书类型、学校等级、师生规模。该数据库未参与任何集采或联采方案。报价单详见附件。请参考附件内供应商提供的已购情况说明函。</w:t>
            </w:r>
          </w:p>
          <w:p w14:paraId="7D731441">
            <w:pPr>
              <w:rPr>
                <w:rFonts w:ascii="仿宋" w:hAnsi="仿宋" w:eastAsia="仿宋" w:cs="仿宋"/>
                <w:sz w:val="24"/>
              </w:rPr>
            </w:pPr>
          </w:p>
        </w:tc>
      </w:tr>
      <w:tr w14:paraId="488EE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143" w:hRule="atLeast"/>
        </w:trPr>
        <w:tc>
          <w:tcPr>
            <w:tcW w:w="9631" w:type="dxa"/>
            <w:gridSpan w:val="6"/>
            <w:tcBorders>
              <w:top w:val="single" w:color="auto" w:sz="4" w:space="0"/>
              <w:bottom w:val="single" w:color="auto" w:sz="4" w:space="0"/>
            </w:tcBorders>
            <w:vAlign w:val="center"/>
          </w:tcPr>
          <w:p w14:paraId="307F1F21">
            <w:pPr>
              <w:jc w:val="left"/>
              <w:rPr>
                <w:rFonts w:ascii="仿宋" w:hAnsi="仿宋" w:eastAsia="仿宋" w:cs="仿宋"/>
                <w:b/>
                <w:sz w:val="24"/>
              </w:rPr>
            </w:pPr>
            <w:r>
              <w:rPr>
                <w:rFonts w:hint="eastAsia" w:ascii="仿宋" w:hAnsi="仿宋" w:eastAsia="仿宋" w:cs="仿宋"/>
                <w:b/>
                <w:sz w:val="24"/>
              </w:rPr>
              <w:t>购置理由（必要性和合理性）：</w:t>
            </w:r>
          </w:p>
          <w:p w14:paraId="22FA503C">
            <w:pPr>
              <w:rPr>
                <w:rFonts w:ascii="仿宋" w:hAnsi="仿宋" w:eastAsia="仿宋" w:cs="仿宋"/>
                <w:sz w:val="24"/>
              </w:rPr>
            </w:pPr>
            <w:r>
              <w:rPr>
                <w:rFonts w:hint="eastAsia" w:ascii="仿宋" w:hAnsi="仿宋" w:eastAsia="仿宋" w:cs="仿宋"/>
                <w:sz w:val="24"/>
              </w:rPr>
              <w:t>1. 目前我校图书馆已购初集、二集、三集，本次拟采购的第四集含宋元明清及民国省府州县乡镇志2,000部，对于地区开发和学术研究具有重要参考价值，同时完善了我校馆藏在中国方志方面资源的完整性。中国方志库是我校图书馆资源建设中不可或缺的特色资源，它强化了图书馆在地方文献、古籍保护、学术支持等方面的功能。</w:t>
            </w:r>
            <w:r>
              <w:rPr>
                <w:rFonts w:hint="eastAsia" w:ascii="仿宋" w:hAnsi="仿宋" w:eastAsia="仿宋" w:cs="仿宋"/>
                <w:sz w:val="24"/>
              </w:rPr>
              <w:br w:type="textWrapping"/>
            </w:r>
            <w:r>
              <w:rPr>
                <w:rFonts w:hint="eastAsia" w:ascii="仿宋" w:hAnsi="仿宋" w:eastAsia="仿宋" w:cs="仿宋"/>
                <w:sz w:val="24"/>
              </w:rPr>
              <w:t>2. 该数据库对于中国历史的学习十分重要，尤其GEA2000《中国近现代历史与文化》等通识类课程是全校学生（超1万名本科生）必修的课程，学校的教学对该数据库有很大需求。同时由于本校的历史辅修项目的一大分支就是中国史，该数据库能够很好地支持历史辅修项目。此外，选修如中国历史之传统与变革、粤港澳社会史、近世中国的日常生活、近现代中国体育历史、明清以来的中国城市史、中国文化史等通识课程的同学也可以从中获取课程相关研究资料。该方志库内容包含大量宋元至民国时期各地珍稀方志，与市场同类数据库相比，其内容为该数据库独有。该数据库对我校教授的科研和教学具有不可替代性。</w:t>
            </w:r>
            <w:r>
              <w:rPr>
                <w:rFonts w:hint="eastAsia" w:ascii="仿宋" w:hAnsi="仿宋" w:eastAsia="仿宋" w:cs="仿宋"/>
                <w:sz w:val="24"/>
              </w:rPr>
              <w:br w:type="textWrapping"/>
            </w:r>
            <w:r>
              <w:rPr>
                <w:rFonts w:hint="eastAsia" w:ascii="仿宋" w:hAnsi="仿宋" w:eastAsia="仿宋" w:cs="仿宋"/>
                <w:sz w:val="24"/>
              </w:rPr>
              <w:t>3.  爱如生中国方志库第1-3集我校使用量情况如下：</w:t>
            </w:r>
            <w:r>
              <w:rPr>
                <w:rFonts w:hint="eastAsia" w:ascii="仿宋" w:hAnsi="仿宋" w:eastAsia="仿宋" w:cs="仿宋"/>
                <w:sz w:val="24"/>
              </w:rPr>
              <w:br w:type="textWrapping"/>
            </w:r>
            <w:r>
              <w:rPr>
                <w:rFonts w:hint="eastAsia" w:ascii="仿宋" w:hAnsi="仿宋" w:eastAsia="仿宋" w:cs="仿宋"/>
                <w:sz w:val="24"/>
              </w:rPr>
              <w:t xml:space="preserve">    2021年1月-2021年12月总访问量4917次</w:t>
            </w:r>
            <w:r>
              <w:rPr>
                <w:rFonts w:hint="eastAsia" w:ascii="仿宋" w:hAnsi="仿宋" w:eastAsia="仿宋" w:cs="仿宋"/>
                <w:sz w:val="24"/>
              </w:rPr>
              <w:br w:type="textWrapping"/>
            </w:r>
            <w:r>
              <w:rPr>
                <w:rFonts w:hint="eastAsia" w:ascii="仿宋" w:hAnsi="仿宋" w:eastAsia="仿宋" w:cs="仿宋"/>
                <w:sz w:val="24"/>
              </w:rPr>
              <w:t xml:space="preserve">    2022年1月-2022年12月总访问量4896次，  </w:t>
            </w:r>
            <w:r>
              <w:rPr>
                <w:rFonts w:hint="eastAsia" w:ascii="仿宋" w:hAnsi="仿宋" w:eastAsia="仿宋" w:cs="仿宋"/>
                <w:sz w:val="24"/>
              </w:rPr>
              <w:br w:type="textWrapping"/>
            </w:r>
            <w:r>
              <w:rPr>
                <w:rFonts w:hint="eastAsia" w:ascii="仿宋" w:hAnsi="仿宋" w:eastAsia="仿宋" w:cs="仿宋"/>
                <w:sz w:val="24"/>
              </w:rPr>
              <w:t xml:space="preserve">    2023年1月-2023年12月总访问量4551次</w:t>
            </w:r>
            <w:r>
              <w:rPr>
                <w:rFonts w:hint="eastAsia" w:ascii="仿宋" w:hAnsi="仿宋" w:eastAsia="仿宋" w:cs="仿宋"/>
                <w:sz w:val="24"/>
              </w:rPr>
              <w:br w:type="textWrapping"/>
            </w:r>
            <w:r>
              <w:rPr>
                <w:rFonts w:hint="eastAsia" w:ascii="仿宋" w:hAnsi="仿宋" w:eastAsia="仿宋" w:cs="仿宋"/>
                <w:sz w:val="24"/>
              </w:rPr>
              <w:t xml:space="preserve">    2024年1月-2024年12月总访问量7764次，</w:t>
            </w:r>
            <w:r>
              <w:rPr>
                <w:rFonts w:hint="eastAsia" w:ascii="仿宋" w:hAnsi="仿宋" w:eastAsia="仿宋" w:cs="仿宋"/>
                <w:sz w:val="24"/>
              </w:rPr>
              <w:br w:type="textWrapping"/>
            </w:r>
            <w:r>
              <w:rPr>
                <w:rFonts w:hint="eastAsia" w:ascii="仿宋" w:hAnsi="仿宋" w:eastAsia="仿宋" w:cs="仿宋"/>
                <w:sz w:val="24"/>
              </w:rPr>
              <w:t xml:space="preserve">    2025年1月-2025年6月总访问量4393次，</w:t>
            </w:r>
            <w:r>
              <w:rPr>
                <w:rFonts w:hint="eastAsia" w:ascii="仿宋" w:hAnsi="仿宋" w:eastAsia="仿宋" w:cs="仿宋"/>
                <w:sz w:val="24"/>
              </w:rPr>
              <w:br w:type="textWrapping"/>
            </w:r>
            <w:r>
              <w:rPr>
                <w:rFonts w:hint="eastAsia" w:ascii="仿宋" w:hAnsi="仿宋" w:eastAsia="仿宋" w:cs="仿宋"/>
                <w:sz w:val="24"/>
              </w:rPr>
              <w:t xml:space="preserve">    我校从2016开始以租赁的形式采购该数据库第1-2集，从我校师生的使用数据来看，使用量较高反映良好，因此2022年一次性买断该数据库第1-2集资源，2024年买断该数据库第3集资源，该次采购的第4集为供应商新出集数，为满足教学科研和资源建设连续性的需要，申请一次性买断该数据库第4集。</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按照大学采购流程，该数据库采购计划已提交图书馆委员会报备，并通过委员会审核，相关邮件见附件 。</w:t>
            </w:r>
          </w:p>
          <w:p w14:paraId="545A3C40">
            <w:pPr>
              <w:jc w:val="left"/>
              <w:rPr>
                <w:rFonts w:ascii="仿宋" w:hAnsi="仿宋" w:eastAsia="仿宋" w:cs="仿宋"/>
                <w:b/>
                <w:sz w:val="24"/>
              </w:rPr>
            </w:pPr>
          </w:p>
          <w:p w14:paraId="3942B98C">
            <w:pPr>
              <w:jc w:val="left"/>
              <w:rPr>
                <w:rFonts w:ascii="仿宋" w:hAnsi="仿宋" w:eastAsia="仿宋" w:cs="仿宋"/>
                <w:b/>
                <w:sz w:val="24"/>
              </w:rPr>
            </w:pPr>
          </w:p>
          <w:p w14:paraId="01D01423">
            <w:pPr>
              <w:jc w:val="left"/>
              <w:rPr>
                <w:rFonts w:ascii="仿宋" w:hAnsi="仿宋" w:eastAsia="仿宋" w:cs="仿宋"/>
                <w:b/>
                <w:sz w:val="24"/>
              </w:rPr>
            </w:pPr>
          </w:p>
          <w:p w14:paraId="05EB1100">
            <w:pPr>
              <w:jc w:val="left"/>
              <w:rPr>
                <w:rFonts w:ascii="仿宋" w:hAnsi="仿宋" w:eastAsia="仿宋" w:cs="仿宋"/>
                <w:b/>
                <w:sz w:val="24"/>
              </w:rPr>
            </w:pPr>
          </w:p>
          <w:p w14:paraId="3F13B781">
            <w:pPr>
              <w:jc w:val="left"/>
              <w:rPr>
                <w:rFonts w:ascii="仿宋" w:hAnsi="仿宋" w:eastAsia="仿宋" w:cs="仿宋"/>
                <w:b/>
                <w:sz w:val="24"/>
              </w:rPr>
            </w:pPr>
          </w:p>
          <w:p w14:paraId="45C86628">
            <w:pPr>
              <w:jc w:val="left"/>
              <w:rPr>
                <w:rFonts w:ascii="仿宋" w:hAnsi="仿宋" w:eastAsia="仿宋" w:cs="仿宋"/>
                <w:b/>
                <w:sz w:val="24"/>
              </w:rPr>
            </w:pPr>
          </w:p>
          <w:p w14:paraId="728B6710">
            <w:pPr>
              <w:jc w:val="left"/>
              <w:rPr>
                <w:rFonts w:ascii="仿宋" w:hAnsi="仿宋" w:eastAsia="仿宋" w:cs="仿宋"/>
                <w:b/>
                <w:sz w:val="24"/>
              </w:rPr>
            </w:pPr>
          </w:p>
          <w:p w14:paraId="20C8A01A">
            <w:pPr>
              <w:jc w:val="left"/>
              <w:rPr>
                <w:rFonts w:ascii="仿宋" w:hAnsi="仿宋" w:eastAsia="仿宋" w:cs="仿宋"/>
                <w:b/>
                <w:sz w:val="24"/>
              </w:rPr>
            </w:pPr>
          </w:p>
          <w:p w14:paraId="598F7C54">
            <w:pPr>
              <w:rPr>
                <w:rFonts w:ascii="仿宋" w:hAnsi="仿宋" w:eastAsia="仿宋" w:cs="仿宋"/>
                <w:sz w:val="24"/>
              </w:rPr>
            </w:pPr>
          </w:p>
        </w:tc>
      </w:tr>
      <w:tr w14:paraId="3BD307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52" w:hRule="atLeast"/>
        </w:trPr>
        <w:tc>
          <w:tcPr>
            <w:tcW w:w="9631" w:type="dxa"/>
            <w:gridSpan w:val="6"/>
            <w:tcBorders>
              <w:top w:val="single" w:color="auto" w:sz="4" w:space="0"/>
              <w:bottom w:val="single" w:color="auto" w:sz="4" w:space="0"/>
            </w:tcBorders>
            <w:vAlign w:val="center"/>
          </w:tcPr>
          <w:p w14:paraId="2ACB05F6">
            <w:pPr>
              <w:jc w:val="left"/>
              <w:rPr>
                <w:rFonts w:ascii="仿宋" w:hAnsi="仿宋" w:eastAsia="仿宋" w:cs="仿宋"/>
                <w:b/>
                <w:sz w:val="24"/>
              </w:rPr>
            </w:pPr>
            <w:r>
              <w:rPr>
                <w:rFonts w:hint="eastAsia" w:ascii="仿宋" w:hAnsi="仿宋" w:eastAsia="仿宋" w:cs="仿宋"/>
                <w:b/>
                <w:sz w:val="24"/>
              </w:rPr>
              <w:t>单一来源采购原因阐述及相关说明：</w:t>
            </w:r>
          </w:p>
          <w:p w14:paraId="2760E6C3">
            <w:pPr>
              <w:jc w:val="left"/>
              <w:rPr>
                <w:rFonts w:ascii="仿宋" w:hAnsi="仿宋" w:eastAsia="仿宋" w:cs="仿宋"/>
                <w:sz w:val="24"/>
              </w:rPr>
            </w:pPr>
            <w:r>
              <w:rPr>
                <w:rFonts w:hint="eastAsia" w:ascii="仿宋" w:hAnsi="仿宋" w:eastAsia="仿宋" w:cs="仿宋"/>
                <w:sz w:val="24"/>
              </w:rPr>
              <w:t>（针对申请理由进行详细阐述，如第三种申请理由应详细说明原有采购项目的相关内容并附件提供原有项目的合同等支撑性材料作为判断依据）</w:t>
            </w:r>
          </w:p>
          <w:p w14:paraId="75530346">
            <w:pPr>
              <w:jc w:val="left"/>
              <w:rPr>
                <w:rFonts w:ascii="仿宋" w:hAnsi="仿宋" w:eastAsia="仿宋" w:cs="仿宋"/>
                <w:sz w:val="24"/>
              </w:rPr>
            </w:pPr>
          </w:p>
          <w:p w14:paraId="22C5E3E9">
            <w:pPr>
              <w:rPr>
                <w:rFonts w:ascii="仿宋" w:hAnsi="仿宋" w:eastAsia="仿宋" w:cs="仿宋"/>
                <w:sz w:val="24"/>
              </w:rPr>
            </w:pPr>
            <w:r>
              <w:rPr>
                <w:rFonts w:hint="eastAsia" w:ascii="仿宋" w:hAnsi="仿宋" w:eastAsia="仿宋" w:cs="仿宋"/>
                <w:sz w:val="24"/>
              </w:rPr>
              <w:t>1.项目概述(内容、数量、用途、简要技术需求等)</w:t>
            </w:r>
          </w:p>
          <w:p w14:paraId="6E821F1C">
            <w:pPr>
              <w:rPr>
                <w:rFonts w:ascii="仿宋" w:hAnsi="仿宋" w:eastAsia="仿宋" w:cs="仿宋"/>
                <w:sz w:val="24"/>
              </w:rPr>
            </w:pPr>
            <w:r>
              <w:rPr>
                <w:rFonts w:hint="eastAsia" w:ascii="仿宋" w:hAnsi="仿宋" w:eastAsia="仿宋" w:cs="仿宋"/>
                <w:sz w:val="24"/>
              </w:rPr>
              <w:t>中国方志库收录自汉魏至民国刊布的全国地理总志（如方舆志、一统志等）和各地方志（如省通志、府州志、州县志、乡镇志等）共七千余部，各类专志（如山川志、边防志、都城志、宫殿志、寺观志、祠墓志等）和各种杂志（如乡土志、风俗志、考古志、游历志等）以及外志（如外国志、交流志等）共二千余部，总计一万部。现存历代地方志类典籍网罗殆尽。本次采购的内容为中国方志库第四集，含历代省府州县乡镇志2,000部。</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中国方志库所收地方志类典籍，均采用宋元明清及民国各级善本，以爱如生独有之古籍数字再造技术制作，还原式页面，左图右文逐页对照；原书之版式及眉批、夹注、图表、标记等无障碍录入，并在原位置非嵌入式显示，全息再现。同时配备爱如生自主研发的检索系统和功能平台，可以进行毫秒级、可导出之海量全文检索和校勘、标点、编辑、复制等一站式整理研究作业，堪称地方志数字化的空前巨献。</w:t>
            </w:r>
          </w:p>
          <w:p w14:paraId="2DB143AD">
            <w:pPr>
              <w:rPr>
                <w:rFonts w:ascii="仿宋" w:hAnsi="仿宋" w:eastAsia="仿宋" w:cs="仿宋"/>
                <w:color w:val="FF0000"/>
                <w:sz w:val="24"/>
              </w:rPr>
            </w:pPr>
          </w:p>
          <w:p w14:paraId="1685C3F4">
            <w:pPr>
              <w:rPr>
                <w:rFonts w:ascii="仿宋" w:hAnsi="仿宋" w:eastAsia="仿宋" w:cs="仿宋"/>
                <w:color w:val="FF0000"/>
                <w:sz w:val="24"/>
              </w:rPr>
            </w:pPr>
          </w:p>
          <w:p w14:paraId="60B67E17">
            <w:pPr>
              <w:jc w:val="left"/>
              <w:rPr>
                <w:rFonts w:ascii="仿宋" w:hAnsi="仿宋" w:eastAsia="仿宋" w:cs="仿宋"/>
                <w:sz w:val="24"/>
              </w:rPr>
            </w:pPr>
            <w:r>
              <w:rPr>
                <w:rFonts w:hint="eastAsia" w:ascii="仿宋" w:hAnsi="仿宋" w:eastAsia="仿宋" w:cs="仿宋"/>
                <w:sz w:val="24"/>
              </w:rPr>
              <w:t>2.单一来源采购原因（唯一性、专门性、必要性）</w:t>
            </w:r>
          </w:p>
          <w:p w14:paraId="416193EE">
            <w:pPr>
              <w:rPr>
                <w:rFonts w:ascii="仿宋" w:hAnsi="仿宋" w:eastAsia="仿宋" w:cs="仿宋"/>
                <w:color w:val="000000" w:themeColor="text1"/>
                <w14:textFill>
                  <w14:solidFill>
                    <w14:schemeClr w14:val="tx1"/>
                  </w14:solidFill>
                </w14:textFill>
              </w:rPr>
            </w:pPr>
            <w:r>
              <w:rPr>
                <w:rFonts w:hint="eastAsia" w:ascii="仿宋" w:hAnsi="仿宋" w:eastAsia="仿宋" w:cs="仿宋"/>
                <w:sz w:val="24"/>
              </w:rPr>
              <w:t>唯一性：中国方志库由北京爱如生数字化技术研究中心开发、制作。北京爱如生数字化技术研究中心为出品人和总发行人，是国内唯一供货商。其内容为供应商通过收集海内外图书馆馆藏，将其实现数字化，北京爱如生数字化技术研究中心所独有，其知识产权技术为其独有，未授权其他单位使用与售卖，其内容是数据库内容为其独有。经调研，湖北省图书馆及上海师范大学均采用单一来源采购的方式采购该数据库，同时与国内其他知名古籍数字化服务商确认，其内容在其他数据库中无法找到，为该数据库所独有。其说明函详见附件。其计算机软件著作权登记证书及作品登记证书详见附件。</w:t>
            </w:r>
            <w:r>
              <w:rPr>
                <w:rFonts w:hint="eastAsia" w:ascii="仿宋" w:hAnsi="仿宋" w:eastAsia="仿宋" w:cs="仿宋"/>
                <w:sz w:val="24"/>
              </w:rPr>
              <w:br w:type="textWrapping"/>
            </w:r>
            <w:r>
              <w:rPr>
                <w:rFonts w:hint="eastAsia" w:ascii="仿宋" w:hAnsi="仿宋" w:eastAsia="仿宋" w:cs="仿宋"/>
                <w:sz w:val="24"/>
              </w:rPr>
              <w:t>专门性和必要性：该数据库主要用于我校本科生（超1万名学生）的通识类必修课程，对比市场上其他同类数据库后，发现其内容为该方志库所独有，只有该方志库中的内容可以完善我校本科生对宋元至民国时期省府州县乡镇志等相关内容的教学需求，因此采购爱如生中国方志库第四集。</w:t>
            </w:r>
            <w:r>
              <w:rPr>
                <w:rFonts w:hint="eastAsia" w:ascii="仿宋" w:hAnsi="仿宋" w:eastAsia="仿宋" w:cs="仿宋"/>
                <w:sz w:val="24"/>
              </w:rPr>
              <w:br w:type="textWrapping"/>
            </w:r>
            <w:r>
              <w:rPr>
                <w:rFonts w:hint="eastAsia" w:ascii="仿宋" w:hAnsi="仿宋" w:eastAsia="仿宋" w:cs="仿宋"/>
                <w:sz w:val="24"/>
              </w:rPr>
              <w:t>故参考《中华人民共和国政府采购法》及《深圳经济特区政府采购条例》规定，该数据库产品供应来源具有不可替代性，符合单一来源采购适用条件。详见附件。</w:t>
            </w:r>
          </w:p>
          <w:p w14:paraId="39B21580">
            <w:pPr>
              <w:jc w:val="left"/>
              <w:rPr>
                <w:rFonts w:ascii="仿宋" w:hAnsi="仿宋" w:eastAsia="仿宋" w:cs="仿宋"/>
                <w:sz w:val="24"/>
              </w:rPr>
            </w:pPr>
          </w:p>
          <w:p w14:paraId="1BF0D41D">
            <w:pPr>
              <w:jc w:val="left"/>
              <w:rPr>
                <w:rFonts w:ascii="仿宋" w:hAnsi="仿宋" w:eastAsia="仿宋" w:cs="仿宋"/>
                <w:b/>
                <w:sz w:val="24"/>
              </w:rPr>
            </w:pPr>
          </w:p>
          <w:p w14:paraId="517EFABF">
            <w:pPr>
              <w:jc w:val="left"/>
              <w:rPr>
                <w:rFonts w:ascii="仿宋" w:hAnsi="仿宋" w:eastAsia="仿宋" w:cs="仿宋"/>
                <w:sz w:val="24"/>
              </w:rPr>
            </w:pPr>
            <w:r>
              <w:rPr>
                <w:rFonts w:hint="eastAsia" w:ascii="仿宋" w:hAnsi="仿宋" w:eastAsia="仿宋" w:cs="仿宋"/>
                <w:sz w:val="24"/>
              </w:rPr>
              <w:t>3.相关佐证材料</w:t>
            </w:r>
          </w:p>
          <w:p w14:paraId="40C2BBDE">
            <w:pPr>
              <w:rPr>
                <w:rFonts w:ascii="仿宋" w:hAnsi="仿宋" w:eastAsia="仿宋" w:cs="仿宋"/>
                <w:sz w:val="24"/>
              </w:rPr>
            </w:pPr>
            <w:r>
              <w:rPr>
                <w:rFonts w:hint="eastAsia" w:ascii="仿宋" w:hAnsi="仿宋" w:eastAsia="仿宋" w:cs="仿宋"/>
                <w:sz w:val="24"/>
              </w:rPr>
              <w:t>按照《香港中文大学（深圳）图书馆文献资源采购办法》第三章第十三条部门自行采购项目应遵照大学相关管理办法和程序。</w:t>
            </w:r>
          </w:p>
          <w:p w14:paraId="4F824B6E">
            <w:pPr>
              <w:jc w:val="left"/>
              <w:rPr>
                <w:rFonts w:ascii="仿宋" w:hAnsi="仿宋" w:eastAsia="仿宋" w:cs="仿宋"/>
                <w:sz w:val="24"/>
              </w:rPr>
            </w:pPr>
          </w:p>
          <w:p w14:paraId="0FBD8F27">
            <w:pPr>
              <w:jc w:val="left"/>
              <w:rPr>
                <w:rFonts w:ascii="仿宋" w:hAnsi="仿宋" w:eastAsia="仿宋" w:cs="仿宋"/>
                <w:sz w:val="24"/>
              </w:rPr>
            </w:pPr>
          </w:p>
        </w:tc>
      </w:tr>
    </w:tbl>
    <w:p w14:paraId="66679C38">
      <w:pPr>
        <w:rPr>
          <w:rFonts w:ascii="仿宋" w:hAnsi="仿宋" w:eastAsia="仿宋"/>
          <w:sz w:val="24"/>
        </w:rPr>
      </w:pPr>
    </w:p>
    <w:sectPr>
      <w:footerReference r:id="rId3" w:type="default"/>
      <w:pgSz w:w="11906" w:h="16838"/>
      <w:pgMar w:top="1440" w:right="1800" w:bottom="1985"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0767807"/>
    </w:sdtPr>
    <w:sdtContent>
      <w:p w14:paraId="1551E3EE">
        <w:pPr>
          <w:pStyle w:val="5"/>
          <w:jc w:val="right"/>
        </w:pPr>
        <w:r>
          <w:fldChar w:fldCharType="begin"/>
        </w:r>
        <w:r>
          <w:instrText xml:space="preserve">PAGE   \* MERGEFORMAT</w:instrText>
        </w:r>
        <w:r>
          <w:fldChar w:fldCharType="separate"/>
        </w:r>
        <w:r>
          <w:rPr>
            <w:lang w:val="zh-CN"/>
          </w:rPr>
          <w:t>5</w:t>
        </w:r>
        <w:r>
          <w:fldChar w:fldCharType="end"/>
        </w:r>
      </w:p>
    </w:sdtContent>
  </w:sdt>
  <w:p w14:paraId="19CE24BC">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362A"/>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1BBC"/>
    <w:rsid w:val="00A53763"/>
    <w:rsid w:val="00A54F6B"/>
    <w:rsid w:val="00A55F7D"/>
    <w:rsid w:val="00A566A6"/>
    <w:rsid w:val="00A65A05"/>
    <w:rsid w:val="00A753BD"/>
    <w:rsid w:val="00A76791"/>
    <w:rsid w:val="00A82998"/>
    <w:rsid w:val="00A93D53"/>
    <w:rsid w:val="00A95DE7"/>
    <w:rsid w:val="00AA6940"/>
    <w:rsid w:val="00AE3674"/>
    <w:rsid w:val="00AE600E"/>
    <w:rsid w:val="00AE6408"/>
    <w:rsid w:val="00AF0D7B"/>
    <w:rsid w:val="00AF2870"/>
    <w:rsid w:val="00B0546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53FCE"/>
    <w:rsid w:val="00C54D85"/>
    <w:rsid w:val="00C565A5"/>
    <w:rsid w:val="00C56958"/>
    <w:rsid w:val="00C8032D"/>
    <w:rsid w:val="00C82FE6"/>
    <w:rsid w:val="00C83317"/>
    <w:rsid w:val="00C83FD0"/>
    <w:rsid w:val="00C87FAF"/>
    <w:rsid w:val="00CA5E6E"/>
    <w:rsid w:val="00CB58F6"/>
    <w:rsid w:val="00CB7E5A"/>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7170"/>
    <w:rsid w:val="00D940AF"/>
    <w:rsid w:val="00D97007"/>
    <w:rsid w:val="00DA28B2"/>
    <w:rsid w:val="00DA7797"/>
    <w:rsid w:val="00DB1EAE"/>
    <w:rsid w:val="00DC4CBD"/>
    <w:rsid w:val="00DD19CC"/>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040B0EA4"/>
    <w:rsid w:val="0AF43AE9"/>
    <w:rsid w:val="0F4A5C0D"/>
    <w:rsid w:val="12024DD8"/>
    <w:rsid w:val="17497B59"/>
    <w:rsid w:val="1CF7137D"/>
    <w:rsid w:val="2F975267"/>
    <w:rsid w:val="3A5C65D7"/>
    <w:rsid w:val="42031418"/>
    <w:rsid w:val="531D5224"/>
    <w:rsid w:val="539A4AC7"/>
    <w:rsid w:val="5F8B7867"/>
    <w:rsid w:val="604310ED"/>
    <w:rsid w:val="66AF33D5"/>
    <w:rsid w:val="6D086606"/>
    <w:rsid w:val="718204F7"/>
    <w:rsid w:val="73D1364F"/>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semiHidden/>
    <w:unhideWhenUsed/>
    <w:qFormat/>
    <w:uiPriority w:val="9"/>
    <w:pPr>
      <w:spacing w:beforeAutospacing="1" w:afterAutospacing="1"/>
      <w:jc w:val="left"/>
      <w:outlineLvl w:val="2"/>
    </w:pPr>
    <w:rPr>
      <w:rFonts w:hint="eastAsia" w:ascii="宋体" w:hAnsi="宋体"/>
      <w:b/>
      <w:kern w:val="0"/>
      <w:sz w:val="27"/>
      <w:szCs w:val="27"/>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unhideWhenUsed/>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link w:val="16"/>
    <w:qFormat/>
    <w:uiPriority w:val="10"/>
    <w:pPr>
      <w:spacing w:before="240" w:after="60"/>
      <w:jc w:val="center"/>
      <w:outlineLvl w:val="0"/>
    </w:pPr>
    <w:rPr>
      <w:rFonts w:asciiTheme="majorHAnsi" w:hAnsiTheme="majorHAnsi" w:eastAsiaTheme="majorEastAsia" w:cstheme="majorBidi"/>
      <w:b/>
      <w:bCs/>
      <w:sz w:val="32"/>
      <w:szCs w:val="32"/>
    </w:rPr>
  </w:style>
  <w:style w:type="paragraph" w:styleId="9">
    <w:name w:val="annotation subject"/>
    <w:basedOn w:val="3"/>
    <w:next w:val="3"/>
    <w:link w:val="21"/>
    <w:autoRedefine/>
    <w:semiHidden/>
    <w:unhideWhenUsed/>
    <w:qFormat/>
    <w:uiPriority w:val="99"/>
    <w:rPr>
      <w:b/>
      <w:bCs/>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6"/>
    <w:qFormat/>
    <w:uiPriority w:val="99"/>
    <w:rPr>
      <w:sz w:val="18"/>
      <w:szCs w:val="18"/>
    </w:rPr>
  </w:style>
  <w:style w:type="character" w:customStyle="1" w:styleId="15">
    <w:name w:val="页脚 字符"/>
    <w:basedOn w:val="12"/>
    <w:link w:val="5"/>
    <w:autoRedefine/>
    <w:qFormat/>
    <w:uiPriority w:val="99"/>
    <w:rPr>
      <w:sz w:val="18"/>
      <w:szCs w:val="18"/>
    </w:rPr>
  </w:style>
  <w:style w:type="character" w:customStyle="1" w:styleId="16">
    <w:name w:val="标题 字符"/>
    <w:basedOn w:val="12"/>
    <w:link w:val="8"/>
    <w:autoRedefine/>
    <w:qFormat/>
    <w:uiPriority w:val="10"/>
    <w:rPr>
      <w:rFonts w:asciiTheme="majorHAnsi" w:hAnsiTheme="majorHAnsi" w:eastAsiaTheme="majorEastAsia" w:cstheme="majorBidi"/>
      <w:b/>
      <w:bCs/>
      <w:sz w:val="32"/>
      <w:szCs w:val="32"/>
    </w:rPr>
  </w:style>
  <w:style w:type="character" w:customStyle="1" w:styleId="17">
    <w:name w:val="批注框文本 字符"/>
    <w:basedOn w:val="12"/>
    <w:link w:val="4"/>
    <w:semiHidden/>
    <w:qFormat/>
    <w:uiPriority w:val="99"/>
    <w:rPr>
      <w:sz w:val="18"/>
      <w:szCs w:val="18"/>
    </w:rPr>
  </w:style>
  <w:style w:type="character" w:customStyle="1" w:styleId="18">
    <w:name w:val="标题 3 字符"/>
    <w:basedOn w:val="12"/>
    <w:link w:val="2"/>
    <w:semiHidden/>
    <w:qFormat/>
    <w:uiPriority w:val="9"/>
    <w:rPr>
      <w:rFonts w:ascii="宋体" w:hAnsi="宋体" w:eastAsia="宋体" w:cs="Times New Roman"/>
      <w:b/>
      <w:kern w:val="0"/>
      <w:sz w:val="27"/>
      <w:szCs w:val="27"/>
    </w:rPr>
  </w:style>
  <w:style w:type="paragraph" w:styleId="19">
    <w:name w:val="List Paragraph"/>
    <w:basedOn w:val="1"/>
    <w:qFormat/>
    <w:uiPriority w:val="99"/>
    <w:pPr>
      <w:ind w:left="720"/>
      <w:contextualSpacing/>
    </w:pPr>
  </w:style>
  <w:style w:type="character" w:customStyle="1" w:styleId="20">
    <w:name w:val="批注文字 字符"/>
    <w:basedOn w:val="12"/>
    <w:link w:val="3"/>
    <w:autoRedefine/>
    <w:qFormat/>
    <w:uiPriority w:val="99"/>
  </w:style>
  <w:style w:type="character" w:customStyle="1" w:styleId="21">
    <w:name w:val="批注主题 字符"/>
    <w:basedOn w:val="20"/>
    <w:link w:val="9"/>
    <w:semiHidden/>
    <w:qFormat/>
    <w:uiPriority w:val="99"/>
    <w:rPr>
      <w:b/>
      <w:bCs/>
    </w:rPr>
  </w:style>
  <w:style w:type="paragraph" w:customStyle="1" w:styleId="22">
    <w:name w:val="正文3"/>
    <w:autoRedefine/>
    <w:qFormat/>
    <w:uiPriority w:val="0"/>
    <w:pPr>
      <w:widowControl w:val="0"/>
      <w:jc w:val="both"/>
    </w:pPr>
    <w:rPr>
      <w:rFonts w:ascii="等线" w:hAnsi="等线" w:eastAsia="等线"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282CB-B586-4F44-BB48-B5CCCCBBB2FC}">
  <ds:schemaRefs/>
</ds:datastoreItem>
</file>

<file path=customXml/itemProps2.xml><?xml version="1.0" encoding="utf-8"?>
<ds:datastoreItem xmlns:ds="http://schemas.openxmlformats.org/officeDocument/2006/customXml" ds:itemID="{653747CD-9C05-48E7-9F50-4DF7DDC1A3E0}">
  <ds:schemaRefs/>
</ds:datastoreItem>
</file>

<file path=customXml/itemProps3.xml><?xml version="1.0" encoding="utf-8"?>
<ds:datastoreItem xmlns:ds="http://schemas.openxmlformats.org/officeDocument/2006/customXml" ds:itemID="{097F01AA-1353-4BB4-81DE-C6E332E4FE83}">
  <ds:schemaRefs/>
</ds:datastoreItem>
</file>

<file path=customXml/itemProps4.xml><?xml version="1.0" encoding="utf-8"?>
<ds:datastoreItem xmlns:ds="http://schemas.openxmlformats.org/officeDocument/2006/customXml" ds:itemID="{750E6BD5-F17D-4550-B0D1-8EF9D07846BE}">
  <ds:schemaRefs/>
</ds:datastoreItem>
</file>

<file path=customXml/itemProps5.xml><?xml version="1.0" encoding="utf-8"?>
<ds:datastoreItem xmlns:ds="http://schemas.openxmlformats.org/officeDocument/2006/customXml" ds:itemID="{093C0C87-6ED7-4C54-B4AB-FD04431DDFD4}">
  <ds:schemaRefs/>
</ds:datastoreItem>
</file>

<file path=docProps/app.xml><?xml version="1.0" encoding="utf-8"?>
<Properties xmlns="http://schemas.openxmlformats.org/officeDocument/2006/extended-properties" xmlns:vt="http://schemas.openxmlformats.org/officeDocument/2006/docPropsVTypes">
  <Template>Normal.dotm</Template>
  <Pages>4</Pages>
  <Words>3775</Words>
  <Characters>4267</Characters>
  <Lines>37</Lines>
  <Paragraphs>10</Paragraphs>
  <TotalTime>35</TotalTime>
  <ScaleCrop>false</ScaleCrop>
  <LinksUpToDate>false</LinksUpToDate>
  <CharactersWithSpaces>4473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2020-06-05T09:53:00Z</dcterms:created>
  <dc:creator>Lily Gu (EAMO)</dc:creator>
  <cp:lastModifiedBy>Whisper-张</cp:lastModifiedBy>
  <cp:lastPrinted>2020-05-09T08:24:00Z</cp:lastPrinted>
  <dcterms:modified xsi:type="dcterms:W3CDTF">2025-12-10T12:06:06Z</dcterms:modified>
  <cp:revision>412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0x0101002073062A300E6E449F516335DDC57058</vt:lpwstr>
  </property>
  <property fmtid="{D5CDD505-2E9C-101B-9397-08002B2CF9AE}" pid="3" name="_dlc_DocIdItemGuid">
    <vt:lpwstr>3a420ff3-845b-4536-8784-072ae158aa34</vt:lpwstr>
  </property>
  <property fmtid="{D5CDD505-2E9C-101B-9397-08002B2CF9AE}" pid="4" name="KSOProductBuildVer">
    <vt:lpwstr>2052-12.1.0.24034</vt:lpwstr>
  </property>
  <property fmtid="{D5CDD505-2E9C-101B-9397-08002B2CF9AE}" pid="5" name="ICV">
    <vt:lpwstr>225E4DB9B371482C83CB4BCAC4A039BC_12</vt:lpwstr>
  </property>
  <property fmtid="{D5CDD505-2E9C-101B-9397-08002B2CF9AE}" pid="6" name="KSOTemplateDocerSaveRecord">
    <vt:lpwstr>eyJoZGlkIjoiMTBkZDBlNjNjYTIwN2U1YjA1YjcwMzBiMDdhY2QxYTUiLCJ1c2VySWQiOiIzMjcyNTEyOTYifQ==</vt:lpwstr>
  </property>
</Properties>
</file>